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59AF" w14:textId="5131665F" w:rsidR="00F02F89" w:rsidRPr="00BC5FC2" w:rsidRDefault="00404283" w:rsidP="00BC5FC2">
      <w:pPr>
        <w:pStyle w:val="Titel"/>
        <w:ind w:left="0" w:firstLine="0"/>
      </w:pPr>
      <w:r w:rsidRPr="00BC5FC2">
        <w:t xml:space="preserve">Høringssvar fra Seniorrådet vedr. </w:t>
      </w:r>
      <w:r w:rsidR="00BC5FC2" w:rsidRPr="00BC5FC2">
        <w:t>rapport om</w:t>
      </w:r>
      <w:r w:rsidRPr="00BC5FC2">
        <w:t xml:space="preserve"> magtanvendelser </w:t>
      </w:r>
      <w:r w:rsidR="00F02F89">
        <w:t xml:space="preserve">i </w:t>
      </w:r>
      <w:r w:rsidRPr="00BC5FC2">
        <w:t>2022</w:t>
      </w:r>
    </w:p>
    <w:p w14:paraId="77C0CBF9" w14:textId="77777777" w:rsidR="00FF7F86" w:rsidRDefault="00FF7F86" w:rsidP="00BC5FC2">
      <w:pPr>
        <w:ind w:left="0" w:firstLine="0"/>
        <w:rPr>
          <w:rFonts w:cstheme="minorHAnsi"/>
          <w:b/>
          <w:bCs/>
          <w:sz w:val="22"/>
          <w:szCs w:val="22"/>
        </w:rPr>
      </w:pPr>
    </w:p>
    <w:p w14:paraId="364A9B41" w14:textId="079003E6" w:rsidR="00BC5FC2" w:rsidRPr="00BC5FC2" w:rsidRDefault="00BC5FC2" w:rsidP="00BC5FC2">
      <w:pPr>
        <w:pStyle w:val="Undertitel"/>
        <w:ind w:left="0" w:firstLine="0"/>
      </w:pPr>
      <w:r w:rsidRPr="00BC5FC2">
        <w:t>S</w:t>
      </w:r>
      <w:r w:rsidRPr="00BC5FC2">
        <w:t>ag 4 på Social- og Sundhedsudvalgets møde 4. april 2023:  Orientering om magtanvendelser i Center for Pleje og Omsorg 2022</w:t>
      </w:r>
    </w:p>
    <w:p w14:paraId="436450FE" w14:textId="7A83F4CA" w:rsidR="00404283" w:rsidRPr="00BC5FC2" w:rsidRDefault="00404283" w:rsidP="00BC5FC2">
      <w:pPr>
        <w:ind w:left="0" w:firstLine="0"/>
        <w:rPr>
          <w:rFonts w:cstheme="minorHAnsi"/>
          <w:sz w:val="22"/>
          <w:szCs w:val="22"/>
        </w:rPr>
      </w:pPr>
    </w:p>
    <w:p w14:paraId="3352E564" w14:textId="117484BC" w:rsidR="00404283" w:rsidRPr="00BC5FC2" w:rsidRDefault="00404283" w:rsidP="00BC5FC2">
      <w:pPr>
        <w:pStyle w:val="Listeafsnit"/>
        <w:numPr>
          <w:ilvl w:val="0"/>
          <w:numId w:val="4"/>
        </w:numPr>
        <w:rPr>
          <w:rFonts w:cstheme="minorHAnsi"/>
          <w:sz w:val="22"/>
          <w:szCs w:val="22"/>
        </w:rPr>
      </w:pPr>
      <w:r w:rsidRPr="00BC5FC2">
        <w:rPr>
          <w:rFonts w:cstheme="minorHAnsi"/>
          <w:sz w:val="22"/>
          <w:szCs w:val="22"/>
        </w:rPr>
        <w:t>Der</w:t>
      </w:r>
      <w:r w:rsidRPr="00BC5FC2">
        <w:rPr>
          <w:rFonts w:cstheme="minorHAnsi"/>
          <w:color w:val="000000"/>
          <w:sz w:val="22"/>
          <w:szCs w:val="22"/>
        </w:rPr>
        <w:t xml:space="preserve"> skal fortsat satses på undervisning, sparring og supervision</w:t>
      </w:r>
      <w:r w:rsidR="0025193A" w:rsidRPr="00BC5FC2">
        <w:rPr>
          <w:rFonts w:cstheme="minorHAnsi"/>
          <w:color w:val="000000"/>
          <w:sz w:val="22"/>
          <w:szCs w:val="22"/>
        </w:rPr>
        <w:t xml:space="preserve"> og formentlig i øget omfang, da behovet vil være stigende i de kommende år i takt med flere personer med betydelig og varigt nedsat psykisk funktionsevne, som er en konsekvens af en erhvervet og fremadskridende mental svækkelse.</w:t>
      </w:r>
    </w:p>
    <w:p w14:paraId="5183DC21" w14:textId="77777777" w:rsidR="00BC5FC2" w:rsidRPr="00BC5FC2" w:rsidRDefault="00BC5FC2" w:rsidP="00BC5FC2">
      <w:pPr>
        <w:pStyle w:val="Listeafsnit"/>
        <w:ind w:firstLine="0"/>
        <w:rPr>
          <w:rFonts w:cstheme="minorHAnsi"/>
          <w:sz w:val="22"/>
          <w:szCs w:val="22"/>
        </w:rPr>
      </w:pPr>
    </w:p>
    <w:p w14:paraId="4FE74852" w14:textId="787C3ED8" w:rsidR="0025193A" w:rsidRPr="00BC5FC2" w:rsidRDefault="0025193A" w:rsidP="00BC5FC2">
      <w:pPr>
        <w:pStyle w:val="Listeafsnit"/>
        <w:numPr>
          <w:ilvl w:val="0"/>
          <w:numId w:val="4"/>
        </w:numPr>
        <w:rPr>
          <w:rFonts w:cstheme="minorHAnsi"/>
          <w:sz w:val="22"/>
          <w:szCs w:val="22"/>
        </w:rPr>
      </w:pPr>
      <w:r w:rsidRPr="00BC5FC2">
        <w:rPr>
          <w:rFonts w:eastAsia="Times New Roman" w:cstheme="minorHAnsi"/>
          <w:color w:val="000000"/>
          <w:sz w:val="22"/>
          <w:szCs w:val="22"/>
          <w:lang w:eastAsia="da-DK"/>
        </w:rPr>
        <w:t>Årsrapporten for 2022 er ikke tydelig nok og bør i fremtiden være mere klar i præsentation, sagsbehandling/analyse og konklusion.</w:t>
      </w:r>
    </w:p>
    <w:p w14:paraId="3435701B" w14:textId="024C3321" w:rsidR="0025193A" w:rsidRPr="00BC5FC2" w:rsidRDefault="0025193A" w:rsidP="00BC5FC2">
      <w:pPr>
        <w:ind w:left="0" w:firstLine="0"/>
        <w:rPr>
          <w:rFonts w:cstheme="minorHAnsi"/>
          <w:sz w:val="22"/>
          <w:szCs w:val="22"/>
        </w:rPr>
      </w:pPr>
    </w:p>
    <w:p w14:paraId="40521E27" w14:textId="3CAE9AC6" w:rsidR="0025193A" w:rsidRPr="00BC5FC2" w:rsidRDefault="0025193A" w:rsidP="00BC5FC2">
      <w:pPr>
        <w:ind w:left="0" w:firstLine="0"/>
        <w:rPr>
          <w:rFonts w:cstheme="minorHAnsi"/>
          <w:sz w:val="22"/>
          <w:szCs w:val="22"/>
        </w:rPr>
      </w:pPr>
      <w:r w:rsidRPr="00BC5FC2">
        <w:rPr>
          <w:rFonts w:cstheme="minorHAnsi"/>
          <w:sz w:val="22"/>
          <w:szCs w:val="22"/>
        </w:rPr>
        <w:t>Dette gælder følgende områder:</w:t>
      </w:r>
    </w:p>
    <w:p w14:paraId="76CE5A3C" w14:textId="583F1E74" w:rsidR="0025193A"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lang w:eastAsia="da-DK"/>
        </w:rPr>
        <w:t xml:space="preserve">I </w:t>
      </w:r>
      <w:r w:rsidR="00B24EC3" w:rsidRPr="00BC5FC2">
        <w:rPr>
          <w:rFonts w:eastAsia="Times New Roman" w:cstheme="minorHAnsi"/>
          <w:color w:val="000000"/>
          <w:sz w:val="22"/>
          <w:szCs w:val="22"/>
          <w:u w:val="single"/>
          <w:lang w:eastAsia="da-DK"/>
        </w:rPr>
        <w:t>I</w:t>
      </w:r>
      <w:r w:rsidRPr="00BC5FC2">
        <w:rPr>
          <w:rFonts w:eastAsia="Times New Roman" w:cstheme="minorHAnsi"/>
          <w:color w:val="000000"/>
          <w:sz w:val="22"/>
          <w:szCs w:val="22"/>
          <w:u w:val="single"/>
          <w:lang w:eastAsia="da-DK"/>
        </w:rPr>
        <w:t>ndledningen</w:t>
      </w:r>
      <w:r w:rsidRPr="00BC5FC2">
        <w:rPr>
          <w:rFonts w:eastAsia="Times New Roman" w:cstheme="minorHAnsi"/>
          <w:color w:val="000000"/>
          <w:sz w:val="22"/>
          <w:szCs w:val="22"/>
          <w:lang w:eastAsia="da-DK"/>
        </w:rPr>
        <w:t xml:space="preserve"> (p. 1) omtales bestemmelserne som trådt i kraft 1/1 2020. Her bør der vel refereres til Serviceloven af 24/1 2022.</w:t>
      </w:r>
    </w:p>
    <w:p w14:paraId="2C95CAEA" w14:textId="77777777" w:rsid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6568B7F1" w14:textId="60D6D427" w:rsidR="0025193A"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lang w:eastAsia="da-DK"/>
        </w:rPr>
        <w:t xml:space="preserve">Under </w:t>
      </w:r>
      <w:r w:rsidR="00B24EC3" w:rsidRPr="00BC5FC2">
        <w:rPr>
          <w:rFonts w:eastAsia="Times New Roman" w:cstheme="minorHAnsi"/>
          <w:color w:val="000000"/>
          <w:sz w:val="22"/>
          <w:szCs w:val="22"/>
          <w:u w:val="single"/>
          <w:lang w:eastAsia="da-DK"/>
        </w:rPr>
        <w:t>R</w:t>
      </w:r>
      <w:r w:rsidRPr="00BC5FC2">
        <w:rPr>
          <w:rFonts w:eastAsia="Times New Roman" w:cstheme="minorHAnsi"/>
          <w:color w:val="000000"/>
          <w:sz w:val="22"/>
          <w:szCs w:val="22"/>
          <w:u w:val="single"/>
          <w:lang w:eastAsia="da-DK"/>
        </w:rPr>
        <w:t>edegørelsens lovgrundlag</w:t>
      </w:r>
      <w:r w:rsidRPr="00BC5FC2">
        <w:rPr>
          <w:rFonts w:eastAsia="Times New Roman" w:cstheme="minorHAnsi"/>
          <w:color w:val="000000"/>
          <w:sz w:val="22"/>
          <w:szCs w:val="22"/>
          <w:lang w:eastAsia="da-DK"/>
        </w:rPr>
        <w:t xml:space="preserve"> (p. 4) omtales §§ 126-127, der er ophævet i Serviceloven af 24/1 2022. Til gengæld nævnes § 124b og d og § 136c ikke, som de aktuelle magtanvendelser vedrører (se p.</w:t>
      </w:r>
      <w:r w:rsidR="0098746C" w:rsidRPr="00BC5FC2">
        <w:rPr>
          <w:rFonts w:eastAsia="Times New Roman" w:cstheme="minorHAnsi"/>
          <w:color w:val="000000"/>
          <w:sz w:val="22"/>
          <w:szCs w:val="22"/>
          <w:lang w:eastAsia="da-DK"/>
        </w:rPr>
        <w:t xml:space="preserve"> </w:t>
      </w:r>
      <w:r w:rsidRPr="00BC5FC2">
        <w:rPr>
          <w:rFonts w:eastAsia="Times New Roman" w:cstheme="minorHAnsi"/>
          <w:color w:val="000000"/>
          <w:sz w:val="22"/>
          <w:szCs w:val="22"/>
          <w:lang w:eastAsia="da-DK"/>
        </w:rPr>
        <w:t>6)</w:t>
      </w:r>
      <w:r w:rsidR="00B24EC3" w:rsidRPr="00BC5FC2">
        <w:rPr>
          <w:rFonts w:eastAsia="Times New Roman" w:cstheme="minorHAnsi"/>
          <w:color w:val="000000"/>
          <w:sz w:val="22"/>
          <w:szCs w:val="22"/>
          <w:lang w:eastAsia="da-DK"/>
        </w:rPr>
        <w:t>.</w:t>
      </w:r>
      <w:r w:rsidR="00FF7F86" w:rsidRPr="00BC5FC2">
        <w:rPr>
          <w:rFonts w:eastAsia="Times New Roman" w:cstheme="minorHAnsi"/>
          <w:color w:val="000000"/>
          <w:sz w:val="22"/>
          <w:szCs w:val="22"/>
          <w:lang w:eastAsia="da-DK"/>
        </w:rPr>
        <w:t xml:space="preserve"> For den ikke-kyndige læser bør det præciseres, hvad disse §§ dækker over.</w:t>
      </w:r>
    </w:p>
    <w:p w14:paraId="0983CA11" w14:textId="77777777" w:rsid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7D657409" w14:textId="0095AFBE" w:rsidR="0025193A"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lang w:eastAsia="da-DK"/>
        </w:rPr>
        <w:t xml:space="preserve">I </w:t>
      </w:r>
      <w:r w:rsidRPr="00BC5FC2">
        <w:rPr>
          <w:rFonts w:eastAsia="Times New Roman" w:cstheme="minorHAnsi"/>
          <w:color w:val="000000"/>
          <w:sz w:val="22"/>
          <w:szCs w:val="22"/>
          <w:u w:val="single"/>
          <w:lang w:eastAsia="da-DK"/>
        </w:rPr>
        <w:t>Indberetninger i 2022</w:t>
      </w:r>
      <w:r w:rsidRPr="00BC5FC2">
        <w:rPr>
          <w:rFonts w:eastAsia="Times New Roman" w:cstheme="minorHAnsi"/>
          <w:color w:val="000000"/>
          <w:sz w:val="22"/>
          <w:szCs w:val="22"/>
          <w:lang w:eastAsia="da-DK"/>
        </w:rPr>
        <w:t xml:space="preserve"> (p. 5) fremgår, at antallet </w:t>
      </w:r>
      <w:r w:rsidR="00B24EC3" w:rsidRPr="00BC5FC2">
        <w:rPr>
          <w:rFonts w:eastAsia="Times New Roman" w:cstheme="minorHAnsi"/>
          <w:color w:val="000000"/>
          <w:sz w:val="22"/>
          <w:szCs w:val="22"/>
          <w:lang w:eastAsia="da-DK"/>
        </w:rPr>
        <w:t xml:space="preserve">af indberetninger </w:t>
      </w:r>
      <w:r w:rsidRPr="00BC5FC2">
        <w:rPr>
          <w:rFonts w:eastAsia="Times New Roman" w:cstheme="minorHAnsi"/>
          <w:color w:val="000000"/>
          <w:sz w:val="22"/>
          <w:szCs w:val="22"/>
          <w:lang w:eastAsia="da-DK"/>
        </w:rPr>
        <w:t>er steget fra 23 i 2021 til 60 i 2023, og der nævnes, at "4 beboere har haft en gentagende indgreb efter § 136c i en kort periode”. Sætningen er uforståelig: Kan alle 60 indberetninger henføres til 4 beboere? I så fald er de 60 indberetninger ikke så foruroligende, men afspejler formentlig, at der er flere "personer med betydelig og varigt nedsat psykisk funktionsevne, som er en konsekvens af en erhvervet og fremadskridende mental svækkelse” (§ 136b).</w:t>
      </w:r>
    </w:p>
    <w:p w14:paraId="2FEFC676" w14:textId="77777777" w:rsidR="00BC5FC2" w:rsidRP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38217528" w14:textId="1FEBB0F1" w:rsidR="0025193A"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u w:val="single"/>
          <w:lang w:eastAsia="da-DK"/>
        </w:rPr>
        <w:t>Fordeling ud</w:t>
      </w:r>
      <w:r w:rsidR="00FF7F86" w:rsidRPr="00BC5FC2">
        <w:rPr>
          <w:rFonts w:eastAsia="Times New Roman" w:cstheme="minorHAnsi"/>
          <w:color w:val="000000"/>
          <w:sz w:val="22"/>
          <w:szCs w:val="22"/>
          <w:u w:val="single"/>
          <w:lang w:eastAsia="da-DK"/>
        </w:rPr>
        <w:t xml:space="preserve"> </w:t>
      </w:r>
      <w:r w:rsidRPr="00BC5FC2">
        <w:rPr>
          <w:rFonts w:eastAsia="Times New Roman" w:cstheme="minorHAnsi"/>
          <w:color w:val="000000"/>
          <w:sz w:val="22"/>
          <w:szCs w:val="22"/>
          <w:u w:val="single"/>
          <w:lang w:eastAsia="da-DK"/>
        </w:rPr>
        <w:t>fra §</w:t>
      </w:r>
      <w:r w:rsidRPr="00BC5FC2">
        <w:rPr>
          <w:rFonts w:eastAsia="Times New Roman" w:cstheme="minorHAnsi"/>
          <w:color w:val="000000"/>
          <w:sz w:val="22"/>
          <w:szCs w:val="22"/>
          <w:lang w:eastAsia="da-DK"/>
        </w:rPr>
        <w:t xml:space="preserve"> (p. 6) bør uddybes. § 124b er fysisk guidning, § 124d er fastholdelse mv. og §136c er kortvarig fastholdelse i personlige hygiejne-situationer (heraf 58 af de 60 indberetninger)</w:t>
      </w:r>
      <w:r w:rsidR="00B24EC3" w:rsidRPr="00BC5FC2">
        <w:rPr>
          <w:rFonts w:eastAsia="Times New Roman" w:cstheme="minorHAnsi"/>
          <w:color w:val="000000"/>
          <w:sz w:val="22"/>
          <w:szCs w:val="22"/>
          <w:lang w:eastAsia="da-DK"/>
        </w:rPr>
        <w:t>.</w:t>
      </w:r>
    </w:p>
    <w:p w14:paraId="5CBF4371" w14:textId="77777777" w:rsidR="00BC5FC2" w:rsidRP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7146A034" w14:textId="1C9D61D7" w:rsidR="00B24EC3"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u w:val="single"/>
          <w:lang w:eastAsia="da-DK"/>
        </w:rPr>
        <w:t>Magtanvendelser fordelt på distrikter 2022</w:t>
      </w:r>
      <w:r w:rsidRPr="00BC5FC2">
        <w:rPr>
          <w:rFonts w:eastAsia="Times New Roman" w:cstheme="minorHAnsi"/>
          <w:color w:val="000000"/>
          <w:sz w:val="22"/>
          <w:szCs w:val="22"/>
          <w:lang w:eastAsia="da-DK"/>
        </w:rPr>
        <w:t xml:space="preserve"> (p. 6) viser klart, at det er Solvang og Præstø, der står for hovedparten af magtanvendelser (i alt 50 ud af 60). Dette stemmer ikke med</w:t>
      </w:r>
      <w:r w:rsidR="00B24EC3" w:rsidRPr="00BC5FC2">
        <w:rPr>
          <w:rFonts w:eastAsia="Times New Roman" w:cstheme="minorHAnsi"/>
          <w:color w:val="000000"/>
          <w:sz w:val="22"/>
          <w:szCs w:val="22"/>
          <w:lang w:eastAsia="da-DK"/>
        </w:rPr>
        <w:t xml:space="preserve"> udsagnet </w:t>
      </w:r>
      <w:r w:rsidRPr="00BC5FC2">
        <w:rPr>
          <w:rFonts w:eastAsia="Times New Roman" w:cstheme="minorHAnsi"/>
          <w:color w:val="000000"/>
          <w:sz w:val="22"/>
          <w:szCs w:val="22"/>
          <w:lang w:eastAsia="da-DK"/>
        </w:rPr>
        <w:t xml:space="preserve">”der er en større fordeling mellem distrikterne, der har magtanvendelser” (p. 7). </w:t>
      </w:r>
    </w:p>
    <w:p w14:paraId="66A7B4B3" w14:textId="77777777" w:rsid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44CE41EF" w14:textId="308B2F70" w:rsidR="0025193A" w:rsidRPr="00BC5FC2" w:rsidRDefault="0025193A"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lang w:eastAsia="da-DK"/>
        </w:rPr>
        <w:t>Der er en</w:t>
      </w:r>
      <w:r w:rsidR="00B24EC3" w:rsidRPr="00BC5FC2">
        <w:rPr>
          <w:rFonts w:eastAsia="Times New Roman" w:cstheme="minorHAnsi"/>
          <w:color w:val="000000"/>
          <w:sz w:val="22"/>
          <w:szCs w:val="22"/>
          <w:lang w:eastAsia="da-DK"/>
        </w:rPr>
        <w:t>d</w:t>
      </w:r>
      <w:r w:rsidRPr="00BC5FC2">
        <w:rPr>
          <w:rFonts w:eastAsia="Times New Roman" w:cstheme="minorHAnsi"/>
          <w:color w:val="000000"/>
          <w:sz w:val="22"/>
          <w:szCs w:val="22"/>
          <w:lang w:eastAsia="da-DK"/>
        </w:rPr>
        <w:t>da 5 distrikter ud af 10, der ikke har magtanvendelser. Hvad ligger der bag disse tal? Er det Solvang og Præstø, der har hovedparten af kommunens "personer med betydelig og varigt nedsat psykisk funktionsevne, som er en konsekvens af en erhvervet og fremadskridende mental svækkelse”, herunder de 4 tidligere nævnte personer? Eller er de andre distrikter bedre gearet til at klare disse personer? </w:t>
      </w:r>
      <w:r w:rsidR="00B24EC3" w:rsidRPr="00BC5FC2">
        <w:rPr>
          <w:rFonts w:eastAsia="Times New Roman" w:cstheme="minorHAnsi"/>
          <w:color w:val="000000"/>
          <w:sz w:val="22"/>
          <w:szCs w:val="22"/>
          <w:lang w:eastAsia="da-DK"/>
        </w:rPr>
        <w:t>Eller kan det skyldes manglende indberetning?</w:t>
      </w:r>
    </w:p>
    <w:p w14:paraId="16393213" w14:textId="77777777" w:rsidR="00BC5FC2" w:rsidRDefault="00BC5FC2" w:rsidP="00BC5FC2">
      <w:pPr>
        <w:pStyle w:val="Listeafsnit"/>
        <w:spacing w:before="100" w:beforeAutospacing="1" w:after="100" w:afterAutospacing="1"/>
        <w:ind w:right="0" w:firstLine="0"/>
        <w:rPr>
          <w:rFonts w:eastAsia="Times New Roman" w:cstheme="minorHAnsi"/>
          <w:color w:val="000000"/>
          <w:sz w:val="22"/>
          <w:szCs w:val="22"/>
          <w:lang w:eastAsia="da-DK"/>
        </w:rPr>
      </w:pPr>
    </w:p>
    <w:p w14:paraId="3C662D2E" w14:textId="4ACC2F23" w:rsidR="00FF7F86" w:rsidRPr="00BC5FC2" w:rsidRDefault="00B24EC3" w:rsidP="00BC5FC2">
      <w:pPr>
        <w:pStyle w:val="Listeafsnit"/>
        <w:numPr>
          <w:ilvl w:val="0"/>
          <w:numId w:val="6"/>
        </w:numPr>
        <w:spacing w:before="100" w:beforeAutospacing="1" w:after="100" w:afterAutospacing="1"/>
        <w:ind w:right="0"/>
        <w:rPr>
          <w:rFonts w:eastAsia="Times New Roman" w:cstheme="minorHAnsi"/>
          <w:color w:val="000000"/>
          <w:sz w:val="22"/>
          <w:szCs w:val="22"/>
          <w:lang w:eastAsia="da-DK"/>
        </w:rPr>
      </w:pPr>
      <w:r w:rsidRPr="00BC5FC2">
        <w:rPr>
          <w:rFonts w:eastAsia="Times New Roman" w:cstheme="minorHAnsi"/>
          <w:color w:val="000000"/>
          <w:sz w:val="22"/>
          <w:szCs w:val="22"/>
          <w:lang w:eastAsia="da-DK"/>
        </w:rPr>
        <w:t xml:space="preserve">Det bør fremgå, om indberetninger </w:t>
      </w:r>
      <w:r w:rsidR="00FF7F86" w:rsidRPr="00BC5FC2">
        <w:rPr>
          <w:rFonts w:eastAsia="Times New Roman" w:cstheme="minorHAnsi"/>
          <w:color w:val="000000"/>
          <w:sz w:val="22"/>
          <w:szCs w:val="22"/>
          <w:lang w:eastAsia="da-DK"/>
        </w:rPr>
        <w:t xml:space="preserve">kun </w:t>
      </w:r>
      <w:r w:rsidRPr="00BC5FC2">
        <w:rPr>
          <w:rFonts w:eastAsia="Times New Roman" w:cstheme="minorHAnsi"/>
          <w:color w:val="000000"/>
          <w:sz w:val="22"/>
          <w:szCs w:val="22"/>
          <w:lang w:eastAsia="da-DK"/>
        </w:rPr>
        <w:t xml:space="preserve">skyldes lovkrav, eller om der er særlige </w:t>
      </w:r>
      <w:r w:rsidR="00FF7F86" w:rsidRPr="00BC5FC2">
        <w:rPr>
          <w:rFonts w:eastAsia="Times New Roman" w:cstheme="minorHAnsi"/>
          <w:color w:val="000000"/>
          <w:sz w:val="22"/>
          <w:szCs w:val="22"/>
          <w:lang w:eastAsia="da-DK"/>
        </w:rPr>
        <w:t>kommunale krav.</w:t>
      </w:r>
    </w:p>
    <w:sectPr w:rsidR="00FF7F86" w:rsidRPr="00BC5FC2" w:rsidSect="00103E6B">
      <w:pgSz w:w="11900" w:h="16820"/>
      <w:pgMar w:top="1365" w:right="560" w:bottom="1418" w:left="1134" w:header="397"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28A3"/>
    <w:multiLevelType w:val="hybridMultilevel"/>
    <w:tmpl w:val="A43E57F6"/>
    <w:lvl w:ilvl="0" w:tplc="F96083A4">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 w15:restartNumberingAfterBreak="0">
    <w:nsid w:val="1D8246BD"/>
    <w:multiLevelType w:val="hybridMultilevel"/>
    <w:tmpl w:val="099C0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335298"/>
    <w:multiLevelType w:val="hybridMultilevel"/>
    <w:tmpl w:val="AD10CD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30D61E7"/>
    <w:multiLevelType w:val="hybridMultilevel"/>
    <w:tmpl w:val="3AB0C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1B0B2D"/>
    <w:multiLevelType w:val="multilevel"/>
    <w:tmpl w:val="C96A82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96B0823"/>
    <w:multiLevelType w:val="hybridMultilevel"/>
    <w:tmpl w:val="620273C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378171929">
    <w:abstractNumId w:val="0"/>
  </w:num>
  <w:num w:numId="2" w16cid:durableId="1110204819">
    <w:abstractNumId w:val="4"/>
  </w:num>
  <w:num w:numId="3" w16cid:durableId="1826160835">
    <w:abstractNumId w:val="5"/>
  </w:num>
  <w:num w:numId="4" w16cid:durableId="282273281">
    <w:abstractNumId w:val="2"/>
  </w:num>
  <w:num w:numId="5" w16cid:durableId="426538933">
    <w:abstractNumId w:val="1"/>
  </w:num>
  <w:num w:numId="6" w16cid:durableId="656107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83"/>
    <w:rsid w:val="0000224D"/>
    <w:rsid w:val="00021201"/>
    <w:rsid w:val="00034862"/>
    <w:rsid w:val="00044F39"/>
    <w:rsid w:val="0005395A"/>
    <w:rsid w:val="00070269"/>
    <w:rsid w:val="0008103D"/>
    <w:rsid w:val="000846AB"/>
    <w:rsid w:val="000859EB"/>
    <w:rsid w:val="00092F17"/>
    <w:rsid w:val="000A50F7"/>
    <w:rsid w:val="000B08B2"/>
    <w:rsid w:val="000C674A"/>
    <w:rsid w:val="000D41ED"/>
    <w:rsid w:val="000E5116"/>
    <w:rsid w:val="000F297A"/>
    <w:rsid w:val="00103E6B"/>
    <w:rsid w:val="00127791"/>
    <w:rsid w:val="0013351F"/>
    <w:rsid w:val="00137E47"/>
    <w:rsid w:val="00143E94"/>
    <w:rsid w:val="0015545A"/>
    <w:rsid w:val="00161B97"/>
    <w:rsid w:val="00172002"/>
    <w:rsid w:val="001909CF"/>
    <w:rsid w:val="00192814"/>
    <w:rsid w:val="001B7C92"/>
    <w:rsid w:val="001C0CC3"/>
    <w:rsid w:val="001C274E"/>
    <w:rsid w:val="00213B31"/>
    <w:rsid w:val="0021699B"/>
    <w:rsid w:val="0025193A"/>
    <w:rsid w:val="00255B33"/>
    <w:rsid w:val="00271808"/>
    <w:rsid w:val="00275733"/>
    <w:rsid w:val="00280306"/>
    <w:rsid w:val="00284560"/>
    <w:rsid w:val="002A2072"/>
    <w:rsid w:val="002B2168"/>
    <w:rsid w:val="002D622D"/>
    <w:rsid w:val="002E6AFD"/>
    <w:rsid w:val="002E7451"/>
    <w:rsid w:val="00303526"/>
    <w:rsid w:val="00314F61"/>
    <w:rsid w:val="003152A4"/>
    <w:rsid w:val="003155F4"/>
    <w:rsid w:val="00337988"/>
    <w:rsid w:val="003561A1"/>
    <w:rsid w:val="0036117F"/>
    <w:rsid w:val="00390D2D"/>
    <w:rsid w:val="003A1BB0"/>
    <w:rsid w:val="003A2224"/>
    <w:rsid w:val="003A665B"/>
    <w:rsid w:val="003B0DED"/>
    <w:rsid w:val="003C798C"/>
    <w:rsid w:val="003D169B"/>
    <w:rsid w:val="003D1914"/>
    <w:rsid w:val="003D517B"/>
    <w:rsid w:val="003D6AB4"/>
    <w:rsid w:val="003E1C49"/>
    <w:rsid w:val="003E2CEE"/>
    <w:rsid w:val="003E3E0D"/>
    <w:rsid w:val="003E6A19"/>
    <w:rsid w:val="003F7F26"/>
    <w:rsid w:val="00404283"/>
    <w:rsid w:val="00417D7A"/>
    <w:rsid w:val="00422EF4"/>
    <w:rsid w:val="00430D6E"/>
    <w:rsid w:val="00440FC1"/>
    <w:rsid w:val="004537B4"/>
    <w:rsid w:val="00490907"/>
    <w:rsid w:val="00496311"/>
    <w:rsid w:val="004A0EE0"/>
    <w:rsid w:val="004A5324"/>
    <w:rsid w:val="004A6AC9"/>
    <w:rsid w:val="004B2590"/>
    <w:rsid w:val="004B5C46"/>
    <w:rsid w:val="004C2AD7"/>
    <w:rsid w:val="004C72BA"/>
    <w:rsid w:val="004C79E3"/>
    <w:rsid w:val="004D5468"/>
    <w:rsid w:val="004D621C"/>
    <w:rsid w:val="00505D6C"/>
    <w:rsid w:val="005070A1"/>
    <w:rsid w:val="00510CC2"/>
    <w:rsid w:val="005132E3"/>
    <w:rsid w:val="00515036"/>
    <w:rsid w:val="005244FD"/>
    <w:rsid w:val="005273B2"/>
    <w:rsid w:val="00540801"/>
    <w:rsid w:val="00545803"/>
    <w:rsid w:val="00562479"/>
    <w:rsid w:val="00565F53"/>
    <w:rsid w:val="0059305F"/>
    <w:rsid w:val="005D0FB5"/>
    <w:rsid w:val="005D7F2F"/>
    <w:rsid w:val="00604202"/>
    <w:rsid w:val="00630132"/>
    <w:rsid w:val="00645B73"/>
    <w:rsid w:val="00671973"/>
    <w:rsid w:val="0068233C"/>
    <w:rsid w:val="006A653D"/>
    <w:rsid w:val="006B01E5"/>
    <w:rsid w:val="006C7BD5"/>
    <w:rsid w:val="006D0630"/>
    <w:rsid w:val="006D4AC2"/>
    <w:rsid w:val="007275DC"/>
    <w:rsid w:val="00735CF4"/>
    <w:rsid w:val="00755531"/>
    <w:rsid w:val="00761C87"/>
    <w:rsid w:val="0076401A"/>
    <w:rsid w:val="00766E0E"/>
    <w:rsid w:val="00783DB8"/>
    <w:rsid w:val="007927C0"/>
    <w:rsid w:val="007A379A"/>
    <w:rsid w:val="007B07BB"/>
    <w:rsid w:val="007B5C33"/>
    <w:rsid w:val="007B5F0B"/>
    <w:rsid w:val="007C5C9D"/>
    <w:rsid w:val="007E076E"/>
    <w:rsid w:val="0080174D"/>
    <w:rsid w:val="00803E27"/>
    <w:rsid w:val="0080544F"/>
    <w:rsid w:val="00805516"/>
    <w:rsid w:val="00807CE6"/>
    <w:rsid w:val="0083511F"/>
    <w:rsid w:val="00836407"/>
    <w:rsid w:val="00854CAE"/>
    <w:rsid w:val="00856428"/>
    <w:rsid w:val="00864862"/>
    <w:rsid w:val="0086621D"/>
    <w:rsid w:val="0087112E"/>
    <w:rsid w:val="00881C53"/>
    <w:rsid w:val="00891F7F"/>
    <w:rsid w:val="00897C88"/>
    <w:rsid w:val="008E74B3"/>
    <w:rsid w:val="0092118B"/>
    <w:rsid w:val="00936C48"/>
    <w:rsid w:val="00940FB6"/>
    <w:rsid w:val="00956F88"/>
    <w:rsid w:val="009576A9"/>
    <w:rsid w:val="00972B54"/>
    <w:rsid w:val="00977A5D"/>
    <w:rsid w:val="00984B46"/>
    <w:rsid w:val="0098746C"/>
    <w:rsid w:val="00987FD0"/>
    <w:rsid w:val="009A3503"/>
    <w:rsid w:val="009A4DAA"/>
    <w:rsid w:val="009A76ED"/>
    <w:rsid w:val="009B2DC9"/>
    <w:rsid w:val="009D5474"/>
    <w:rsid w:val="009E157D"/>
    <w:rsid w:val="00A04F98"/>
    <w:rsid w:val="00A14F3E"/>
    <w:rsid w:val="00A22199"/>
    <w:rsid w:val="00A2481F"/>
    <w:rsid w:val="00A3234F"/>
    <w:rsid w:val="00A4473E"/>
    <w:rsid w:val="00A541F1"/>
    <w:rsid w:val="00A54E11"/>
    <w:rsid w:val="00A6395F"/>
    <w:rsid w:val="00A678BA"/>
    <w:rsid w:val="00A76201"/>
    <w:rsid w:val="00A864F5"/>
    <w:rsid w:val="00A9165A"/>
    <w:rsid w:val="00A91CAE"/>
    <w:rsid w:val="00A920C0"/>
    <w:rsid w:val="00AA4D40"/>
    <w:rsid w:val="00AB55D7"/>
    <w:rsid w:val="00AC695B"/>
    <w:rsid w:val="00AF07D1"/>
    <w:rsid w:val="00B16937"/>
    <w:rsid w:val="00B17226"/>
    <w:rsid w:val="00B17B04"/>
    <w:rsid w:val="00B22DDE"/>
    <w:rsid w:val="00B24EC3"/>
    <w:rsid w:val="00B2672B"/>
    <w:rsid w:val="00B27E35"/>
    <w:rsid w:val="00B65373"/>
    <w:rsid w:val="00B66461"/>
    <w:rsid w:val="00B861B1"/>
    <w:rsid w:val="00BA0045"/>
    <w:rsid w:val="00BA7533"/>
    <w:rsid w:val="00BC4313"/>
    <w:rsid w:val="00BC5FC2"/>
    <w:rsid w:val="00BE1F39"/>
    <w:rsid w:val="00BF137B"/>
    <w:rsid w:val="00BF215B"/>
    <w:rsid w:val="00BF215F"/>
    <w:rsid w:val="00C05D30"/>
    <w:rsid w:val="00C06547"/>
    <w:rsid w:val="00C118D4"/>
    <w:rsid w:val="00C218B9"/>
    <w:rsid w:val="00C25C51"/>
    <w:rsid w:val="00C276CC"/>
    <w:rsid w:val="00C31D5E"/>
    <w:rsid w:val="00C51DAE"/>
    <w:rsid w:val="00C52EE7"/>
    <w:rsid w:val="00C94B38"/>
    <w:rsid w:val="00CA2F6B"/>
    <w:rsid w:val="00CC451E"/>
    <w:rsid w:val="00CD096D"/>
    <w:rsid w:val="00CD40D3"/>
    <w:rsid w:val="00D072F0"/>
    <w:rsid w:val="00D14B3F"/>
    <w:rsid w:val="00D260DB"/>
    <w:rsid w:val="00D32494"/>
    <w:rsid w:val="00D340A7"/>
    <w:rsid w:val="00D4613A"/>
    <w:rsid w:val="00D520A8"/>
    <w:rsid w:val="00D52DF2"/>
    <w:rsid w:val="00D9250B"/>
    <w:rsid w:val="00DB4AD3"/>
    <w:rsid w:val="00DB7BDE"/>
    <w:rsid w:val="00DC306D"/>
    <w:rsid w:val="00DC750A"/>
    <w:rsid w:val="00DD6C9A"/>
    <w:rsid w:val="00DD6CB6"/>
    <w:rsid w:val="00DF25F4"/>
    <w:rsid w:val="00E229D1"/>
    <w:rsid w:val="00E41706"/>
    <w:rsid w:val="00E608F1"/>
    <w:rsid w:val="00E72B03"/>
    <w:rsid w:val="00E8003F"/>
    <w:rsid w:val="00EB4826"/>
    <w:rsid w:val="00EB576E"/>
    <w:rsid w:val="00EF43DF"/>
    <w:rsid w:val="00F02E7F"/>
    <w:rsid w:val="00F02F89"/>
    <w:rsid w:val="00F21B2F"/>
    <w:rsid w:val="00F45111"/>
    <w:rsid w:val="00F45A3F"/>
    <w:rsid w:val="00F469CB"/>
    <w:rsid w:val="00F54CF1"/>
    <w:rsid w:val="00F55EED"/>
    <w:rsid w:val="00F56AD0"/>
    <w:rsid w:val="00F571CF"/>
    <w:rsid w:val="00F73C88"/>
    <w:rsid w:val="00F81043"/>
    <w:rsid w:val="00F8629D"/>
    <w:rsid w:val="00F906E9"/>
    <w:rsid w:val="00F93CE1"/>
    <w:rsid w:val="00F95DFD"/>
    <w:rsid w:val="00FB2661"/>
    <w:rsid w:val="00FB4977"/>
    <w:rsid w:val="00FC352C"/>
    <w:rsid w:val="00FC7083"/>
    <w:rsid w:val="00FF2B0C"/>
    <w:rsid w:val="00FF7F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0A18"/>
  <w14:defaultImageDpi w14:val="32767"/>
  <w15:chartTrackingRefBased/>
  <w15:docId w15:val="{895F8EFE-17F3-0E43-82B4-ACABF30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pPr>
        <w:ind w:left="1134" w:right="272"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04283"/>
    <w:pPr>
      <w:ind w:left="720"/>
      <w:contextualSpacing/>
    </w:pPr>
  </w:style>
  <w:style w:type="character" w:customStyle="1" w:styleId="apple-converted-space">
    <w:name w:val="apple-converted-space"/>
    <w:basedOn w:val="Standardskrifttypeiafsnit"/>
    <w:rsid w:val="0025193A"/>
  </w:style>
  <w:style w:type="paragraph" w:styleId="Titel">
    <w:name w:val="Title"/>
    <w:basedOn w:val="Normal"/>
    <w:next w:val="Normal"/>
    <w:link w:val="TitelTegn"/>
    <w:uiPriority w:val="10"/>
    <w:qFormat/>
    <w:rsid w:val="00BC5FC2"/>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5FC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5FC2"/>
    <w:pPr>
      <w:numPr>
        <w:ilvl w:val="1"/>
      </w:numPr>
      <w:spacing w:after="160"/>
      <w:ind w:left="1134" w:hanging="567"/>
    </w:pPr>
    <w:rPr>
      <w:color w:val="5A5A5A" w:themeColor="text1" w:themeTint="A5"/>
      <w:spacing w:val="15"/>
      <w:sz w:val="22"/>
      <w:szCs w:val="22"/>
    </w:rPr>
  </w:style>
  <w:style w:type="character" w:customStyle="1" w:styleId="UndertitelTegn">
    <w:name w:val="Undertitel Tegn"/>
    <w:basedOn w:val="Standardskrifttypeiafsnit"/>
    <w:link w:val="Undertitel"/>
    <w:uiPriority w:val="11"/>
    <w:rsid w:val="00BC5FC2"/>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264527">
      <w:bodyDiv w:val="1"/>
      <w:marLeft w:val="0"/>
      <w:marRight w:val="0"/>
      <w:marTop w:val="0"/>
      <w:marBottom w:val="0"/>
      <w:divBdr>
        <w:top w:val="none" w:sz="0" w:space="0" w:color="auto"/>
        <w:left w:val="none" w:sz="0" w:space="0" w:color="auto"/>
        <w:bottom w:val="none" w:sz="0" w:space="0" w:color="auto"/>
        <w:right w:val="none" w:sz="0" w:space="0" w:color="auto"/>
      </w:divBdr>
      <w:divsChild>
        <w:div w:id="9113577">
          <w:marLeft w:val="0"/>
          <w:marRight w:val="0"/>
          <w:marTop w:val="0"/>
          <w:marBottom w:val="0"/>
          <w:divBdr>
            <w:top w:val="none" w:sz="0" w:space="0" w:color="auto"/>
            <w:left w:val="none" w:sz="0" w:space="0" w:color="auto"/>
            <w:bottom w:val="none" w:sz="0" w:space="0" w:color="auto"/>
            <w:right w:val="none" w:sz="0" w:space="0" w:color="auto"/>
          </w:divBdr>
        </w:div>
        <w:div w:id="5177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418</Words>
  <Characters>2189</Characters>
  <Application>Microsoft Office Word</Application>
  <DocSecurity>0</DocSecurity>
  <Lines>43</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Huglstad</dc:creator>
  <cp:keywords/>
  <dc:description/>
  <cp:lastModifiedBy>Rie Lykke Danielsen</cp:lastModifiedBy>
  <cp:revision>4</cp:revision>
  <dcterms:created xsi:type="dcterms:W3CDTF">2023-07-24T11:24:00Z</dcterms:created>
  <dcterms:modified xsi:type="dcterms:W3CDTF">2023-08-30T10:41:00Z</dcterms:modified>
</cp:coreProperties>
</file>